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133350" cy="123825"/>
            <wp:effectExtent l="19050" t="0" r="0" b="0"/>
            <wp:docPr id="1" name="Picture 1" descr="http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6C5DFF">
          <w:rPr>
            <w:rFonts w:ascii="Calibri" w:eastAsia="Times New Roman" w:hAnsi="Calibri" w:cs="Calibri"/>
            <w:b/>
            <w:bCs/>
            <w:color w:val="000000"/>
            <w:sz w:val="21"/>
            <w:lang w:eastAsia="hr-HR"/>
          </w:rPr>
          <w:t>Upute za korištenje</w:t>
        </w:r>
        <w:r w:rsidRPr="006C5DFF">
          <w:rPr>
            <w:rFonts w:ascii="Calibri" w:eastAsia="Times New Roman" w:hAnsi="Calibri" w:cs="Calibri"/>
            <w:color w:val="000000"/>
            <w:sz w:val="21"/>
            <w:szCs w:val="21"/>
            <w:lang w:eastAsia="hr-HR"/>
          </w:rPr>
          <w:t xml:space="preserve"> </w:t>
        </w:r>
      </w:hyperlink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133350" cy="123825"/>
            <wp:effectExtent l="19050" t="0" r="0" b="0"/>
            <wp:docPr id="2" name="Picture 2" descr="http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6C5DFF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Elektronička pošta</w:t>
        </w:r>
      </w:hyperlink>
      <w:r w:rsidRPr="006C5DFF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 xml:space="preserve"> </w:t>
      </w:r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133350" cy="123825"/>
            <wp:effectExtent l="19050" t="0" r="0" b="0"/>
            <wp:docPr id="3" name="Picture 3" descr="http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6C5DFF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Početna stranica</w:t>
        </w:r>
      </w:hyperlink>
      <w:r w:rsidRPr="006C5DFF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 xml:space="preserve"> </w:t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1266825" cy="161925"/>
            <wp:effectExtent l="19050" t="0" r="9525" b="0"/>
            <wp:docPr id="4" name="Picture 4" descr="http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1266825" cy="161925"/>
            <wp:effectExtent l="19050" t="0" r="9525" b="0"/>
            <wp:docPr id="5" name="Picture 5" descr="http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1266825" cy="161925"/>
            <wp:effectExtent l="19050" t="0" r="9525" b="0"/>
            <wp:docPr id="6" name="Picture 6" descr="http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3676650" cy="809625"/>
            <wp:effectExtent l="19050" t="0" r="0" b="0"/>
            <wp:docPr id="7" name="Picture 7" descr="http://narodne-novine.nn.hr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ne-novine.nn.hr/img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FF" w:rsidRPr="006C5DFF" w:rsidRDefault="006C5DFF" w:rsidP="006C5DFF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6C5DFF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kriterijima za izricanje pedagoških mjera</w:t>
      </w:r>
    </w:p>
    <w:p w:rsidR="006C5DFF" w:rsidRPr="006C5DFF" w:rsidRDefault="006C5DFF" w:rsidP="006C5DFF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</w:pPr>
      <w:r w:rsidRPr="006C5DFF"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  <w:t>NN 94/2015, Pravilnik o kriterijima za izricanje pedagoških mjera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  <w:lang w:eastAsia="hr-HR"/>
        </w:rPr>
      </w:pPr>
      <w:r w:rsidRPr="006C5DFF"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  <w:lang w:eastAsia="hr-HR"/>
        </w:rPr>
        <w:t>MINISTARSTVO ZNANOSTI, OBRAZOVANJA I SPORTA</w:t>
      </w:r>
    </w:p>
    <w:p w:rsidR="006C5DFF" w:rsidRPr="006C5DFF" w:rsidRDefault="006C5DFF" w:rsidP="006C5DFF">
      <w:pPr>
        <w:spacing w:before="100" w:beforeAutospacing="1" w:after="225" w:line="336" w:lineRule="atLeast"/>
        <w:jc w:val="right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hr-HR"/>
        </w:rPr>
      </w:pPr>
      <w:r w:rsidRPr="006C5DF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hr-HR"/>
        </w:rPr>
        <w:t>1818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</w:pPr>
      <w:r w:rsidRPr="006C5DF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>PRAVILNIK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 w:rsidRPr="006C5D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 KRITERIJIMA ZA IZRICANJE PEDAGOŠKIH MJERA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1.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Ovim pravilnikom propisuju se kriteriji za izricanje pedagoških mjera učenicima osnovnih i srednjih škola.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Izricanje pedagoških mjera temelji se na principima postupnosti, proporcionalnosti, pravednosti i pravodobnosti.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Pedagoške mjere izriču se zbog povrede dužnosti, neispunjavanja obveza, nasilničkog ponašanja i drugih neprimjerenih ponašanja (u daljnjem tekstu: neprihvatljiva ponašanja).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(5) Pedagoške mjere za koje se utvrđuju kriteriji u: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a) osnovnoj školi su: opomena, ukor, strogi ukor i preseljenje u drugu školu,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b) srednjoj školi su: opomena, ukor, opomena pred isključenje i isključenje iz srednje škole.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(6) Pedagoške mjere izriču se prema težini neprihvatljivog ponašanja.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2.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3.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Lakšim neprihvatljivim ponašanjima iz stavka 1. ovoga članka smatra se: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a) ometanje odgojno-obrazovnoga rada (npr. izazivanje nereda, stvaranje buke, pričanje nakon usmene opomene učitelja/nastavnika ili dovikivanje tijekom odgojno-obrazovnoga rada);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b) onečišćenje školskoga prostora i okoliša (npr. bacanje smeća izvan koševa za otpatke);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c) oštećivanje imovine u prostorima škole ili na drugome mjestu gdje se održava odgojno-obrazovni rad nanošenjem manje štete (npr. šaranje, urezivanje u namještaj);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d) nedopušteno korištenje informacijsko-komunikacijskih uređaja tijekom odgojno-obrazovnoga rada;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e) pomaganje ili poticanje ulaska neovlaštenih osoba u školski prostor;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f) poticanje drugih učenika na neprihvatljiva ponašanja;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g) uznemiravanje učenika ili radnika škole odnosno druge aktivnosti koje izazivaju nelagodu u drugih osoba, nakon što je učenik na to upozoren;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h) korištenje nedopuštenih izvora podataka u svrhu prepisivanja.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Težim neprihvatljivim ponašanjima iz stavka 1. ovoga članka smatra se: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a) ometanje odgojno-obrazovnoga rada na način da je onemogućeno njegovo daljnje izvođenje;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b) povreda dostojanstva druge osobe omalovažavanjem, vrijeđanjem ili širenjem neistina i glasina o drugome učeniku ili radniku škole;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c) unošenje ili konzumiranje psihoaktivnih sredstava u prostor škole ili na drugo mjesto gdje se održava odgojno-obrazovni rad;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e) namjerno uništavanje imovine nanošenjem veće štete u prostoru škole ili na drugome mjestu gdje se održava odgojno-obrazovni rad;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f) prikrivanje nasilnih oblika ponašanja;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g) udaranje, sudjelovanje u tučnjavi i druga ponašanja koja mogu ugroziti sigurnost samog učenika ili druge osobe, ali bez težih posljedica;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h) korištenje ili zlouporaba podataka drugog učenika iz pedagoške dokumentacije;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i) klađenje ili kockanje u prostorima škole ili na drugome mjestu gdje se održava odgojno-obrazovni rad;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j) prisvajanje tuđe stvari.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Teškim neprihvatljivim ponašanjima iz stavka 1. ovoga članka smatra se: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b) nasilno ponašanje koje nije rezultiralo težim posljedicama;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c) krivotvorenje ispričnica ili ispitnih materijala;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d) neovlašteno korištenje tuđih podataka za pristup elektroničkim bazama podataka škole bez njihove izmjene;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e) krađa tuđe stvari;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f) poticanje grupnoga govora mržnje;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g) uništavanje službene dokumentacije škole;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h) prisila drugog učenika na neprihvatljivo ponašanje ili iznuda drugog učenika (npr. iznuđivanje novca);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i) unošenje oružja i opasnih predmeta u prostor škole ili drugdje gdje se održava odgojno-obrazovni rad.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(5) Osobito teškim neprihvatljivim ponašanjima iz stavka 1. ovoga članka smatra se: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a) krivotvorenje pisane ili elektroničke službene dokumentacije škole;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b) objavljivanje materijala elektroničkim ili drugim putem, a koji za posljedicu imaju povredu ugleda, časti i dostojanstva druge osobe;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c) teška krađa odnosno krađa počinjena na opasan ili drzak način, obijanjem, provaljivanjem ili svladavanjem prepreka da se dođe do stvari;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d) ugrožavanje sigurnosti učenika ili radnika škole korištenjem oružja ili opasnih predmeta u prostoru škole ili na drugome mjestu gdje se održava odgojno-obrazovni rad;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e) nasilno ponašanje koje je rezultiralo teškim emocionalnim ili fizičkim posljedicama za drugu osobu.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4.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Pedagoška mjera izriče se i zbog neopravdanih izostanaka s nastave.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Neopravdanim izostankom smatra se izostanak za koji razredniku nije dostavljena liječnička ispričnica ili ispričnica nadležne institucije, koju je potpisao i roditelj.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Neopravdanim izostankom ne smatra se izostanak s nastave za koji je roditelj unaprijed tražio i dobio odobrenje i to: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u hitnim slučajevima usmeno od učitelja/nastavnika za izostanak s njegova sata;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– pisano od razrednika za izostanak do 3 radna dana, ravnatelja za izostanak do 7 radnih dana i učiteljskog/nastavničkog vijeća za izostanak do 15 radnih dana.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(5) Načini opravdavanja izostanaka učenika, rokovi za dostavu ispričnica, kao i primjereni rok javljanja o razlogu izostanka uređuju se statutom škole.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5.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Mjera se može izreći i bez izjašnjavanja učenika ako se učenik bez opravdanoga razloga ne odazove pozivu razrednika ili druge ovlaštene osobe.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Mjera se može izreći i bez informiranja roditelja, što je propisano stavkom 2. ovoga članka, ako se roditelj ne odazove ni pisanom pozivu na razgovor.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(5) Pedagoška mjera opomene i ukora mora se izreći najkasnije u roku od 15 dana od dana saznanja za neprihvatljivo ponašanje učenika zbog kojeg se izriče.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6.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7.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8.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9.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Škole su dužne uskladiti odredbe statuta s odredbama ovoga pravilnika u roku od 60 dana od dana njegova stupanja na snagu.</w:t>
      </w:r>
    </w:p>
    <w:p w:rsidR="006C5DFF" w:rsidRPr="006C5DFF" w:rsidRDefault="006C5DFF" w:rsidP="006C5DFF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Članak 10.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Klasa: 602-02/15-06/00087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Urbroj: 533-25-15-0008</w:t>
      </w:r>
    </w:p>
    <w:p w:rsidR="006C5DFF" w:rsidRPr="006C5DFF" w:rsidRDefault="006C5DFF" w:rsidP="006C5DF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Zagreb, 31. kolovoza 2015. </w:t>
      </w:r>
    </w:p>
    <w:p w:rsidR="006C5DFF" w:rsidRPr="006C5DFF" w:rsidRDefault="006C5DFF" w:rsidP="006C5DFF">
      <w:pPr>
        <w:spacing w:before="100" w:beforeAutospacing="1" w:line="336" w:lineRule="atLeast"/>
        <w:ind w:left="734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Ministar</w:t>
      </w: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6C5D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prof. dr. sc. Vedran Mornar, </w:t>
      </w:r>
      <w:r w:rsidRPr="006C5DF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v. r.</w:t>
      </w:r>
    </w:p>
    <w:tbl>
      <w:tblPr>
        <w:tblW w:w="5000" w:type="pct"/>
        <w:jc w:val="center"/>
        <w:tblCellSpacing w:w="15" w:type="dxa"/>
        <w:tblCellMar>
          <w:top w:w="300" w:type="dxa"/>
          <w:left w:w="375" w:type="dxa"/>
          <w:bottom w:w="15" w:type="dxa"/>
          <w:right w:w="375" w:type="dxa"/>
        </w:tblCellMar>
        <w:tblLook w:val="04A0"/>
      </w:tblPr>
      <w:tblGrid>
        <w:gridCol w:w="9882"/>
      </w:tblGrid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6C5DFF">
              <w:rPr>
                <w:rFonts w:ascii="Calibri" w:eastAsia="Times New Roman" w:hAnsi="Calibri" w:cs="Calibri"/>
                <w:color w:val="666666"/>
                <w:sz w:val="23"/>
                <w:lang w:eastAsia="hr-HR"/>
              </w:rPr>
              <w:t>Dio NN:</w:t>
            </w:r>
            <w:r w:rsidRPr="006C5D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Službeni</w:t>
            </w:r>
          </w:p>
        </w:tc>
      </w:tr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6C5DFF">
              <w:rPr>
                <w:rFonts w:ascii="Calibri" w:eastAsia="Times New Roman" w:hAnsi="Calibri" w:cs="Calibri"/>
                <w:color w:val="666666"/>
                <w:sz w:val="23"/>
                <w:lang w:eastAsia="hr-HR"/>
              </w:rPr>
              <w:t>Vrsta dokumenta:</w:t>
            </w:r>
            <w:r w:rsidRPr="006C5D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Pravilnik</w:t>
            </w:r>
          </w:p>
        </w:tc>
      </w:tr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6C5DFF">
              <w:rPr>
                <w:rFonts w:ascii="Calibri" w:eastAsia="Times New Roman" w:hAnsi="Calibri" w:cs="Calibri"/>
                <w:color w:val="666666"/>
                <w:sz w:val="23"/>
                <w:lang w:eastAsia="hr-HR"/>
              </w:rPr>
              <w:t>Izdanje:</w:t>
            </w:r>
            <w:r w:rsidRPr="006C5D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NN 94/2015   </w:t>
            </w:r>
          </w:p>
        </w:tc>
      </w:tr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6C5DFF">
              <w:rPr>
                <w:rFonts w:ascii="Calibri" w:eastAsia="Times New Roman" w:hAnsi="Calibri" w:cs="Calibri"/>
                <w:color w:val="666666"/>
                <w:sz w:val="23"/>
                <w:lang w:eastAsia="hr-HR"/>
              </w:rPr>
              <w:t>Broj dokumenta u izdanju:</w:t>
            </w:r>
            <w:r w:rsidRPr="006C5D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1818</w:t>
            </w:r>
          </w:p>
        </w:tc>
      </w:tr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6C5DFF">
              <w:rPr>
                <w:rFonts w:ascii="Calibri" w:eastAsia="Times New Roman" w:hAnsi="Calibri" w:cs="Calibri"/>
                <w:color w:val="666666"/>
                <w:sz w:val="23"/>
                <w:lang w:eastAsia="hr-HR"/>
              </w:rPr>
              <w:t>Donositelj:</w:t>
            </w:r>
            <w:r w:rsidRPr="006C5D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>Ministarstvo znanosti, obrazovanja i sporta</w:t>
            </w:r>
          </w:p>
        </w:tc>
      </w:tr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6C5DFF">
              <w:rPr>
                <w:rFonts w:ascii="Calibri" w:eastAsia="Times New Roman" w:hAnsi="Calibri" w:cs="Calibri"/>
                <w:color w:val="666666"/>
                <w:sz w:val="23"/>
                <w:lang w:eastAsia="hr-HR"/>
              </w:rPr>
              <w:t>Datum tiskanog izdanja:</w:t>
            </w:r>
            <w:r w:rsidRPr="006C5DF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2.9.2015.</w:t>
            </w:r>
          </w:p>
        </w:tc>
      </w:tr>
    </w:tbl>
    <w:p w:rsidR="006C5DFF" w:rsidRPr="006C5DFF" w:rsidRDefault="006C5DFF" w:rsidP="006C5DFF">
      <w:pPr>
        <w:shd w:val="clear" w:color="auto" w:fill="F4F4F6"/>
        <w:spacing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375" w:type="dxa"/>
          <w:bottom w:w="15" w:type="dxa"/>
          <w:right w:w="15" w:type="dxa"/>
        </w:tblCellMar>
        <w:tblLook w:val="04A0"/>
      </w:tblPr>
      <w:tblGrid>
        <w:gridCol w:w="9522"/>
      </w:tblGrid>
      <w:tr w:rsidR="006C5DFF" w:rsidRPr="006C5DFF" w:rsidTr="006C5D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5DFF" w:rsidRPr="006C5DFF" w:rsidRDefault="006C5DFF" w:rsidP="006C5DFF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</w:p>
        </w:tc>
      </w:tr>
    </w:tbl>
    <w:p w:rsidR="006C5DFF" w:rsidRPr="006C5DFF" w:rsidRDefault="006C5DFF" w:rsidP="006C5DFF">
      <w:pPr>
        <w:shd w:val="clear" w:color="auto" w:fill="F4F4F6"/>
        <w:spacing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u w:val="single"/>
          <w:lang w:eastAsia="hr-HR"/>
        </w:rPr>
      </w:pPr>
      <w:hyperlink r:id="rId12" w:tgtFrame="_blank" w:history="1">
        <w:r w:rsidRPr="006C5DFF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Prikaz na čitavom ekranu</w:t>
        </w:r>
      </w:hyperlink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6C5DFF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>Opći uvjeti korištenja</w:t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6C5DFF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>Zaštita privatnosti</w:t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6C5DFF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 xml:space="preserve">© 2016. Narodne novine d.d., izrada </w:t>
      </w:r>
      <w:hyperlink r:id="rId13" w:tgtFrame="_blank" w:history="1">
        <w:r w:rsidRPr="006C5DFF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Novena d.o.o.</w:t>
        </w:r>
      </w:hyperlink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p w:rsidR="006C5DFF" w:rsidRPr="006C5DFF" w:rsidRDefault="006C5DFF" w:rsidP="006C5DFF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vanish/>
          <w:color w:val="3F7FC3"/>
          <w:sz w:val="33"/>
          <w:szCs w:val="33"/>
          <w:lang w:eastAsia="hr-HR"/>
        </w:rPr>
      </w:pPr>
      <w:r w:rsidRPr="006C5DFF">
        <w:rPr>
          <w:rFonts w:ascii="Minion Pro" w:eastAsia="Times New Roman" w:hAnsi="Minion Pro" w:cs="Calibri"/>
          <w:b/>
          <w:bCs/>
          <w:vanish/>
          <w:color w:val="3F7FC3"/>
          <w:sz w:val="33"/>
          <w:szCs w:val="33"/>
          <w:lang w:eastAsia="hr-HR"/>
        </w:rPr>
        <w:t>Opći uvjeti korištenja</w:t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  <w:r w:rsidRPr="006C5DFF">
        <w:rPr>
          <w:rFonts w:ascii="Calibri" w:eastAsia="Times New Roman" w:hAnsi="Calibri" w:cs="Calibri"/>
          <w:b/>
          <w:bCs/>
          <w:vanish/>
          <w:color w:val="666666"/>
          <w:sz w:val="21"/>
          <w:szCs w:val="21"/>
          <w:lang w:eastAsia="hr-HR"/>
        </w:rPr>
        <w:t>Odgovornost za objavljene sadržaje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Narodne novine d.d. će poduzeti razumne i odgovarajuće napore kako bi informacije na ovim internetskim stranicama bile potpune i točne, ali ne odgovara u slučaju njihove netočnosti ili nepotpunosti. Narodne novine d.d. ne odgovaraju za štetu ili povredu koja može biti rezultat korištenja ili nemogućnosti korištenja bilo kojeg dijela ove web-lokacije ili nečeg što je na njoj objavljeno.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Ove internetske stranice sadrže i informacije trećih osoba i poveznice na druge internetske sadržaje. Narodne novine d.d. ne odgovaraju za sadržaje na vanjskim izvorima podataka do kojih mogu voditi poveznice s naših internetskih stranica, niti odgovara, niti upućuje na način i uvjete korištenja tih sadržaja.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Narodne novine d.d. ne odgovaraju za sadržaje koje na ove internetske stranice stave treće osobe.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6C5DFF">
        <w:rPr>
          <w:rFonts w:ascii="Calibri" w:eastAsia="Times New Roman" w:hAnsi="Calibri" w:cs="Calibri"/>
          <w:b/>
          <w:bCs/>
          <w:vanish/>
          <w:color w:val="666666"/>
          <w:sz w:val="21"/>
          <w:szCs w:val="21"/>
          <w:lang w:eastAsia="hr-HR"/>
        </w:rPr>
        <w:t>Zaštita autorskog prava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Svi sadržaji objavljeni na ovim internetskim stranicama zaštićeni su autorskim pravom i mogu se koristiti samo pod uvjetima propisanim Zakonom.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6C5DFF">
        <w:rPr>
          <w:rFonts w:ascii="Calibri" w:eastAsia="Times New Roman" w:hAnsi="Calibri" w:cs="Calibri"/>
          <w:b/>
          <w:bCs/>
          <w:vanish/>
          <w:color w:val="666666"/>
          <w:sz w:val="21"/>
          <w:szCs w:val="21"/>
          <w:lang w:eastAsia="hr-HR"/>
        </w:rPr>
        <w:t>Promjene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Narodne novine d.d. zadržavaju pravo izmjene, dopune ili uklanjanja bilo kojeg dijela ovih internetskih stranica u bilo kojem trenutku. Promjene stupaju na snagu objavljivanjem na ovim internetskim stranicama ili kada su korisnici o njima obaviješteni.</w:t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p w:rsidR="006C5DFF" w:rsidRPr="006C5DFF" w:rsidRDefault="006C5DFF" w:rsidP="006C5DFF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vanish/>
          <w:color w:val="3F7FC3"/>
          <w:sz w:val="33"/>
          <w:szCs w:val="33"/>
          <w:lang w:eastAsia="hr-HR"/>
        </w:rPr>
      </w:pPr>
      <w:r w:rsidRPr="006C5DFF">
        <w:rPr>
          <w:rFonts w:ascii="Minion Pro" w:eastAsia="Times New Roman" w:hAnsi="Minion Pro" w:cs="Calibri"/>
          <w:b/>
          <w:bCs/>
          <w:vanish/>
          <w:color w:val="3F7FC3"/>
          <w:sz w:val="33"/>
          <w:szCs w:val="33"/>
          <w:lang w:eastAsia="hr-HR"/>
        </w:rPr>
        <w:t>Zaštita privatnosti</w:t>
      </w:r>
    </w:p>
    <w:p w:rsidR="006C5DFF" w:rsidRPr="006C5DFF" w:rsidRDefault="006C5DFF" w:rsidP="006C5DFF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t xml:space="preserve">Narodne novine d.d se obvezuju poštivati anonimnost i privatnost korisnika ovih internetskih stranica. O posjetiteljima se neće prikupljati nikakvi osobni podaci osim u slučajevima ako ih posjetitelj dobrovoljno dostavi Narodnim novinama d.d. U slučajevima kad je poznat indentitet posjetitelja/pošiljatelja, njegovi će se podaci koristiti samo u svrhu zbog koje ih je pošiljatelj poslao. Narodne novine d.d. takve podatke mogu koristiti i za što bolji uvid i razumijevanja pojedinačnih potreba i zahtjeva korisnika kao i razvijanja mogućnosti što kvalitetnijega pružanja svojih usluga korisnicima. Narodne novine d.d. se obvezuju da navedene podatke neće učiniti dostupnim bilo kojoj trećoj osobi odnosno strani bez izričitoga pristanka korisnika. </w:t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 xml:space="preserve">Narodne novine d.d. upozoravaju posjetitelje/korisnike na ograničenja suvremenih informacijsko-komunikacijskih tehnologija u odnosu na sigurnost i zaštitu privatnosti osobnih podataka. </w:t>
      </w:r>
    </w:p>
    <w:p w:rsidR="009E5634" w:rsidRDefault="006C5DFF" w:rsidP="006C5DFF"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pict/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pict/>
      </w:r>
      <w:r w:rsidRPr="006C5DFF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pict/>
      </w:r>
    </w:p>
    <w:sectPr w:rsidR="009E5634" w:rsidSect="009E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DFF"/>
    <w:rsid w:val="006C5DFF"/>
    <w:rsid w:val="009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4"/>
  </w:style>
  <w:style w:type="paragraph" w:styleId="Heading2">
    <w:name w:val="heading 2"/>
    <w:basedOn w:val="Normal"/>
    <w:link w:val="Heading2Char"/>
    <w:uiPriority w:val="9"/>
    <w:qFormat/>
    <w:rsid w:val="006C5DFF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6C5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DFF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C5DF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key">
    <w:name w:val="key"/>
    <w:basedOn w:val="DefaultParagraphFont"/>
    <w:rsid w:val="006C5DFF"/>
    <w:rPr>
      <w:color w:val="666666"/>
    </w:rPr>
  </w:style>
  <w:style w:type="character" w:styleId="Strong">
    <w:name w:val="Strong"/>
    <w:basedOn w:val="DefaultParagraphFont"/>
    <w:uiPriority w:val="22"/>
    <w:qFormat/>
    <w:rsid w:val="006C5DFF"/>
    <w:rPr>
      <w:b/>
      <w:bCs/>
    </w:rPr>
  </w:style>
  <w:style w:type="paragraph" w:customStyle="1" w:styleId="tb-na184">
    <w:name w:val="tb-na184"/>
    <w:basedOn w:val="Normal"/>
    <w:rsid w:val="006C5DFF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6C5D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452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780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10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085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6635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95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652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3927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7447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oven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email.aspx" TargetMode="External"/><Relationship Id="rId12" Type="http://schemas.openxmlformats.org/officeDocument/2006/relationships/hyperlink" Target="http://narodne-novine.nn.hr/clanci/sluzbeni/full/2015_09_94_18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://narodne-novine.nn.hr/upute.asp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narodne-novine.nn.hr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13454</Characters>
  <Application>Microsoft Office Word</Application>
  <DocSecurity>0</DocSecurity>
  <Lines>112</Lines>
  <Paragraphs>31</Paragraphs>
  <ScaleCrop>false</ScaleCrop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2017-01-27T10:08:00Z</dcterms:created>
  <dcterms:modified xsi:type="dcterms:W3CDTF">2017-01-27T10:08:00Z</dcterms:modified>
</cp:coreProperties>
</file>